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医院信息化建设相关软硬件项目</w:t>
      </w:r>
      <w:r>
        <w:rPr>
          <w:rFonts w:hint="eastAsia"/>
          <w:b/>
          <w:bCs/>
          <w:sz w:val="36"/>
          <w:szCs w:val="36"/>
        </w:rPr>
        <w:t>方案介绍</w:t>
      </w:r>
      <w:r>
        <w:rPr>
          <w:rFonts w:hint="eastAsia"/>
          <w:b/>
          <w:bCs/>
          <w:sz w:val="36"/>
          <w:szCs w:val="36"/>
          <w:lang w:eastAsia="zh-CN"/>
        </w:rPr>
        <w:t>公告</w:t>
      </w:r>
    </w:p>
    <w:p>
      <w:pPr>
        <w:rPr>
          <w:rFonts w:hint="eastAsia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各产品生产企业: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我院近期拟对标互联互通四级甲等评测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电子病历五级评审进行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相关信息化建设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，欢迎符合资质的厂商或代理商来院进行相关方案</w:t>
      </w:r>
      <w:r>
        <w:rPr>
          <w:rFonts w:hint="eastAsia" w:ascii="宋体" w:hAnsi="宋体" w:eastAsia="宋体" w:cs="宋体"/>
          <w:sz w:val="28"/>
          <w:szCs w:val="28"/>
        </w:rPr>
        <w:t>介绍。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一、项目名称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1、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HRP系统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(包括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人力资源管理、全面预算、全成本核算、财务会计、资产管理等系统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)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信息安全建设项目</w:t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3、配套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电子病历五级评审系统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(包括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临床辅助决策支持知识库、治疗管理、电子签名管理、病案管理、病案无纸化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智能BI等系统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)</w:t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4、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移动业务综合管理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服务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平台</w:t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5、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三级公立医院绩效考核指标管理系统</w:t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6、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后勤管理系统</w:t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7、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急诊系统</w:t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8、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预防静脉血栓VTE系统</w:t>
      </w:r>
    </w:p>
    <w:p>
      <w:pP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9、信息科运维管理系统</w:t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10、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服务器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存储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硬件</w:t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11、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移动护理PDA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二、方案介绍供应商资格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1、符合《中华人民共和国政府采购法》第二十一条和第二十二条规定的供应商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2 应当独立于采购人和集中采购机构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符合《中华人民共和国政府采购法实施条例》第十八条和第二十二条规定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4、本项目不接受关联企业联合介绍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5、方案介绍供应商声明在参与政府采购活动前三年未有重大违法记录、没有不良信用记录。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三、报名时间: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线上报名</w:t>
      </w:r>
      <w:r>
        <w:rPr>
          <w:rFonts w:hint="eastAsia" w:ascii="宋体" w:hAnsi="宋体" w:eastAsia="宋体" w:cs="宋体"/>
          <w:sz w:val="28"/>
          <w:szCs w:val="28"/>
        </w:rPr>
        <w:t>2022年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日至2022年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14</w:t>
      </w:r>
      <w:r>
        <w:rPr>
          <w:rFonts w:hint="eastAsia" w:ascii="宋体" w:hAnsi="宋体" w:eastAsia="宋体" w:cs="宋体"/>
          <w:sz w:val="28"/>
          <w:szCs w:val="28"/>
        </w:rPr>
        <w:t>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17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时止</w:t>
      </w:r>
      <w:r>
        <w:rPr>
          <w:rFonts w:hint="eastAsia" w:ascii="宋体" w:hAnsi="宋体" w:eastAsia="宋体" w:cs="宋体"/>
          <w:sz w:val="28"/>
          <w:szCs w:val="28"/>
        </w:rPr>
        <w:t>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线下报名</w:t>
      </w:r>
      <w:r>
        <w:rPr>
          <w:rFonts w:hint="eastAsia" w:ascii="宋体" w:hAnsi="宋体" w:eastAsia="宋体" w:cs="宋体"/>
          <w:sz w:val="28"/>
          <w:szCs w:val="28"/>
        </w:rPr>
        <w:t>2022年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日至2022年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14</w:t>
      </w:r>
      <w:r>
        <w:rPr>
          <w:rFonts w:hint="eastAsia" w:ascii="宋体" w:hAnsi="宋体" w:eastAsia="宋体" w:cs="宋体"/>
          <w:sz w:val="28"/>
          <w:szCs w:val="28"/>
        </w:rPr>
        <w:t>日每工作日上午8:00-12:00,下午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:30-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:00。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四、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方案</w:t>
      </w:r>
      <w:r>
        <w:rPr>
          <w:rFonts w:hint="eastAsia" w:ascii="宋体" w:hAnsi="宋体" w:eastAsia="宋体" w:cs="宋体"/>
          <w:sz w:val="28"/>
          <w:szCs w:val="28"/>
        </w:rPr>
        <w:t>介绍时间、地点: 另行通知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五、报名地点:盐城市大丰区幸福东大街139号，门诊四楼B区信息科。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建议</w:t>
      </w:r>
      <w:r>
        <w:rPr>
          <w:rFonts w:hint="eastAsia" w:ascii="宋体" w:hAnsi="宋体" w:eastAsia="宋体" w:cs="宋体"/>
          <w:sz w:val="28"/>
          <w:szCs w:val="28"/>
        </w:rPr>
        <w:t>网上报名，报名表见附件1。邮箱:953683771@qq.com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六、报名联系人:康宜家 电话:0515-83530079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七、监督电话:0515-83530065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sz w:val="28"/>
          <w:szCs w:val="28"/>
        </w:rPr>
        <w:t>报名表</w:t>
      </w:r>
    </w:p>
    <w:p>
      <w:pPr>
        <w:spacing w:line="460" w:lineRule="exact"/>
        <w:ind w:left="2520" w:hanging="2520" w:hangingChars="9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　　　　　　　　　　　日期：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日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701"/>
        <w:gridCol w:w="1985"/>
        <w:gridCol w:w="3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gridSpan w:val="2"/>
            <w:noWrap w:val="0"/>
            <w:vAlign w:val="top"/>
          </w:tcPr>
          <w:p>
            <w:pPr>
              <w:spacing w:line="46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报名单位全称</w:t>
            </w:r>
          </w:p>
        </w:tc>
        <w:tc>
          <w:tcPr>
            <w:tcW w:w="5579" w:type="dxa"/>
            <w:gridSpan w:val="2"/>
            <w:noWrap w:val="0"/>
            <w:vAlign w:val="top"/>
          </w:tcPr>
          <w:p>
            <w:pPr>
              <w:spacing w:line="460" w:lineRule="exac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gridSpan w:val="2"/>
            <w:noWrap w:val="0"/>
            <w:vAlign w:val="top"/>
          </w:tcPr>
          <w:p>
            <w:pPr>
              <w:spacing w:line="46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法定代表人</w:t>
            </w:r>
          </w:p>
        </w:tc>
        <w:tc>
          <w:tcPr>
            <w:tcW w:w="5579" w:type="dxa"/>
            <w:gridSpan w:val="2"/>
            <w:noWrap w:val="0"/>
            <w:vAlign w:val="top"/>
          </w:tcPr>
          <w:p>
            <w:pPr>
              <w:spacing w:line="460" w:lineRule="exact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restart"/>
            <w:noWrap w:val="0"/>
            <w:vAlign w:val="center"/>
          </w:tcPr>
          <w:p>
            <w:pPr>
              <w:spacing w:line="46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联系人</w:t>
            </w:r>
          </w:p>
        </w:tc>
        <w:tc>
          <w:tcPr>
            <w:tcW w:w="1701" w:type="dxa"/>
            <w:vMerge w:val="restart"/>
            <w:noWrap w:val="0"/>
            <w:vAlign w:val="center"/>
          </w:tcPr>
          <w:p>
            <w:pPr>
              <w:spacing w:line="460" w:lineRule="exact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spacing w:line="46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手机</w:t>
            </w:r>
          </w:p>
        </w:tc>
        <w:tc>
          <w:tcPr>
            <w:tcW w:w="3594" w:type="dxa"/>
            <w:noWrap w:val="0"/>
            <w:vAlign w:val="top"/>
          </w:tcPr>
          <w:p>
            <w:pPr>
              <w:spacing w:line="460" w:lineRule="exac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noWrap w:val="0"/>
            <w:vAlign w:val="top"/>
          </w:tcPr>
          <w:p>
            <w:pPr>
              <w:spacing w:line="4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noWrap w:val="0"/>
            <w:vAlign w:val="top"/>
          </w:tcPr>
          <w:p>
            <w:pPr>
              <w:spacing w:line="4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spacing w:line="46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固定电话</w:t>
            </w:r>
          </w:p>
        </w:tc>
        <w:tc>
          <w:tcPr>
            <w:tcW w:w="3594" w:type="dxa"/>
            <w:noWrap w:val="0"/>
            <w:vAlign w:val="top"/>
          </w:tcPr>
          <w:p>
            <w:pPr>
              <w:spacing w:line="460" w:lineRule="exac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42" w:type="dxa"/>
            <w:vMerge w:val="continue"/>
            <w:noWrap w:val="0"/>
            <w:vAlign w:val="top"/>
          </w:tcPr>
          <w:p>
            <w:pPr>
              <w:spacing w:line="4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noWrap w:val="0"/>
            <w:vAlign w:val="top"/>
          </w:tcPr>
          <w:p>
            <w:pPr>
              <w:spacing w:line="4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spacing w:line="46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传真</w:t>
            </w:r>
          </w:p>
        </w:tc>
        <w:tc>
          <w:tcPr>
            <w:tcW w:w="3594" w:type="dxa"/>
            <w:noWrap w:val="0"/>
            <w:vAlign w:val="top"/>
          </w:tcPr>
          <w:p>
            <w:pPr>
              <w:spacing w:line="460" w:lineRule="exact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42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3686" w:type="dxa"/>
            <w:gridSpan w:val="2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报名项目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名称</w:t>
            </w:r>
          </w:p>
        </w:tc>
        <w:tc>
          <w:tcPr>
            <w:tcW w:w="3594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42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3686" w:type="dxa"/>
            <w:gridSpan w:val="2"/>
            <w:noWrap w:val="0"/>
            <w:vAlign w:val="top"/>
          </w:tcPr>
          <w:p>
            <w:pPr>
              <w:tabs>
                <w:tab w:val="left" w:pos="914"/>
              </w:tabs>
              <w:spacing w:line="460" w:lineRule="exac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3594" w:type="dxa"/>
            <w:noWrap w:val="0"/>
            <w:vAlign w:val="top"/>
          </w:tcPr>
          <w:p>
            <w:pPr>
              <w:spacing w:line="460" w:lineRule="exac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42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686" w:type="dxa"/>
            <w:gridSpan w:val="2"/>
            <w:noWrap w:val="0"/>
            <w:vAlign w:val="top"/>
          </w:tcPr>
          <w:p>
            <w:pPr>
              <w:tabs>
                <w:tab w:val="left" w:pos="914"/>
              </w:tabs>
              <w:spacing w:line="460" w:lineRule="exac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3594" w:type="dxa"/>
            <w:noWrap w:val="0"/>
            <w:vAlign w:val="top"/>
          </w:tcPr>
          <w:p>
            <w:pPr>
              <w:spacing w:line="460" w:lineRule="exac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F25511"/>
    <w:multiLevelType w:val="singleLevel"/>
    <w:tmpl w:val="78F25511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yNzhiM2FhNTNhYzE1ZDk1MTQ4ZDIyYzhjYzRmNjIifQ=="/>
  </w:docVars>
  <w:rsids>
    <w:rsidRoot w:val="00000000"/>
    <w:rsid w:val="07215EDB"/>
    <w:rsid w:val="1B2A1EA8"/>
    <w:rsid w:val="266B05B0"/>
    <w:rsid w:val="4F8C55BD"/>
    <w:rsid w:val="72BF216E"/>
    <w:rsid w:val="74CD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623</Words>
  <Characters>711</Characters>
  <Lines>0</Lines>
  <Paragraphs>0</Paragraphs>
  <TotalTime>1</TotalTime>
  <ScaleCrop>false</ScaleCrop>
  <LinksUpToDate>false</LinksUpToDate>
  <CharactersWithSpaces>738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许正华</cp:lastModifiedBy>
  <cp:lastPrinted>2022-08-05T03:30:00Z</cp:lastPrinted>
  <dcterms:modified xsi:type="dcterms:W3CDTF">2022-08-05T06:11:02Z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DB660D3F6667440FAAD138A163ADEC4E</vt:lpwstr>
  </property>
</Properties>
</file>